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07C04" w14:textId="77777777" w:rsidR="005A3757" w:rsidRDefault="00747B1F">
      <w:pPr>
        <w:pBdr>
          <w:top w:val="nil"/>
          <w:left w:val="nil"/>
          <w:bottom w:val="nil"/>
          <w:right w:val="nil"/>
          <w:between w:val="nil"/>
        </w:pBdr>
        <w:spacing w:before="240" w:after="0" w:line="240" w:lineRule="auto"/>
        <w:jc w:val="both"/>
        <w:rPr>
          <w:color w:val="000000"/>
        </w:rPr>
      </w:pPr>
      <w:r>
        <w:rPr>
          <w:b/>
          <w:color w:val="000000"/>
          <w:highlight w:val="yellow"/>
        </w:rPr>
        <w:t>LOGO et adresse de l’organisation</w:t>
      </w:r>
      <w:r>
        <w:rPr>
          <w:b/>
          <w:color w:val="000000"/>
        </w:rPr>
        <w:t> </w:t>
      </w:r>
    </w:p>
    <w:p w14:paraId="42D2661E" w14:textId="77777777" w:rsidR="005A3757" w:rsidRDefault="00747B1F">
      <w:pPr>
        <w:pBdr>
          <w:top w:val="nil"/>
          <w:left w:val="nil"/>
          <w:bottom w:val="nil"/>
          <w:right w:val="nil"/>
          <w:between w:val="nil"/>
        </w:pBdr>
        <w:spacing w:before="240" w:after="0" w:line="240" w:lineRule="auto"/>
        <w:jc w:val="right"/>
        <w:rPr>
          <w:color w:val="000000"/>
        </w:rPr>
      </w:pPr>
      <w:r>
        <w:rPr>
          <w:rFonts w:ascii="Arial" w:eastAsia="Arial" w:hAnsi="Arial" w:cs="Arial"/>
          <w:color w:val="000000"/>
          <w:sz w:val="22"/>
          <w:szCs w:val="22"/>
        </w:rPr>
        <w:t xml:space="preserve">                                                                          À </w:t>
      </w:r>
      <w:r>
        <w:rPr>
          <w:rFonts w:ascii="Arial" w:eastAsia="Arial" w:hAnsi="Arial" w:cs="Arial"/>
          <w:color w:val="000000"/>
          <w:sz w:val="22"/>
          <w:szCs w:val="22"/>
          <w:highlight w:val="yellow"/>
        </w:rPr>
        <w:t>(nom de la ville)</w:t>
      </w:r>
      <w:r>
        <w:rPr>
          <w:rFonts w:ascii="Arial" w:eastAsia="Arial" w:hAnsi="Arial" w:cs="Arial"/>
          <w:color w:val="000000"/>
          <w:sz w:val="22"/>
          <w:szCs w:val="22"/>
        </w:rPr>
        <w:t xml:space="preserve">, le </w:t>
      </w:r>
      <w:r>
        <w:rPr>
          <w:rFonts w:ascii="Arial" w:eastAsia="Arial" w:hAnsi="Arial" w:cs="Arial"/>
          <w:color w:val="000000"/>
          <w:sz w:val="22"/>
          <w:szCs w:val="22"/>
          <w:highlight w:val="yellow"/>
        </w:rPr>
        <w:t>(date)</w:t>
      </w:r>
    </w:p>
    <w:p w14:paraId="1CA45D60" w14:textId="77777777" w:rsidR="005A3757" w:rsidRDefault="005A3757"/>
    <w:tbl>
      <w:tblPr>
        <w:tblStyle w:val="a0"/>
        <w:tblW w:w="8835" w:type="dxa"/>
        <w:tblLayout w:type="fixed"/>
        <w:tblLook w:val="0400" w:firstRow="0" w:lastRow="0" w:firstColumn="0" w:lastColumn="0" w:noHBand="0" w:noVBand="1"/>
      </w:tblPr>
      <w:tblGrid>
        <w:gridCol w:w="4455"/>
        <w:gridCol w:w="4380"/>
      </w:tblGrid>
      <w:tr w:rsidR="005A3757" w14:paraId="2F7FDB66" w14:textId="77777777">
        <w:trPr>
          <w:trHeight w:val="2585"/>
        </w:trPr>
        <w:tc>
          <w:tcPr>
            <w:tcW w:w="4455" w:type="dxa"/>
            <w:tcBorders>
              <w:right w:val="single" w:sz="4" w:space="0" w:color="000000"/>
            </w:tcBorders>
            <w:tcMar>
              <w:top w:w="100" w:type="dxa"/>
              <w:left w:w="100" w:type="dxa"/>
              <w:bottom w:w="100" w:type="dxa"/>
              <w:right w:w="100" w:type="dxa"/>
            </w:tcMar>
          </w:tcPr>
          <w:p w14:paraId="689EE27F" w14:textId="77777777" w:rsidR="005A3757" w:rsidRDefault="00747B1F">
            <w:pPr>
              <w:pBdr>
                <w:top w:val="nil"/>
                <w:left w:val="nil"/>
                <w:bottom w:val="nil"/>
                <w:right w:val="nil"/>
                <w:between w:val="nil"/>
              </w:pBdr>
              <w:shd w:val="clear" w:color="auto" w:fill="FFFFFF"/>
              <w:spacing w:after="0" w:line="240" w:lineRule="auto"/>
              <w:rPr>
                <w:color w:val="000000"/>
              </w:rPr>
            </w:pPr>
            <w:r>
              <w:rPr>
                <w:color w:val="000000"/>
              </w:rPr>
              <w:t> </w:t>
            </w:r>
          </w:p>
          <w:p w14:paraId="32640BF0" w14:textId="77777777" w:rsidR="005A3757" w:rsidRDefault="00747B1F">
            <w:pPr>
              <w:pBdr>
                <w:top w:val="nil"/>
                <w:left w:val="nil"/>
                <w:bottom w:val="nil"/>
                <w:right w:val="nil"/>
                <w:between w:val="nil"/>
              </w:pBdr>
              <w:shd w:val="clear" w:color="auto" w:fill="FFFFFF"/>
              <w:spacing w:after="120" w:line="240" w:lineRule="auto"/>
              <w:rPr>
                <w:color w:val="000000"/>
              </w:rPr>
            </w:pPr>
            <w:r>
              <w:rPr>
                <w:rFonts w:ascii="Arial" w:eastAsia="Arial" w:hAnsi="Arial" w:cs="Arial"/>
                <w:b/>
                <w:color w:val="000000"/>
                <w:sz w:val="22"/>
                <w:szCs w:val="22"/>
                <w:highlight w:val="yellow"/>
              </w:rPr>
              <w:t>M. ou Mme (nom de votre député)</w:t>
            </w:r>
          </w:p>
          <w:p w14:paraId="432ABBF2" w14:textId="77777777" w:rsidR="005A3757" w:rsidRDefault="005A3757">
            <w:pPr>
              <w:numPr>
                <w:ilvl w:val="0"/>
                <w:numId w:val="2"/>
              </w:numPr>
              <w:pBdr>
                <w:top w:val="nil"/>
                <w:left w:val="nil"/>
                <w:bottom w:val="nil"/>
                <w:right w:val="nil"/>
                <w:between w:val="nil"/>
              </w:pBdr>
              <w:shd w:val="clear" w:color="auto" w:fill="FFFFFF"/>
              <w:spacing w:after="0" w:line="240" w:lineRule="auto"/>
              <w:ind w:left="0"/>
              <w:rPr>
                <w:rFonts w:ascii="Arial" w:eastAsia="Arial" w:hAnsi="Arial" w:cs="Arial"/>
                <w:color w:val="000000"/>
                <w:sz w:val="22"/>
                <w:szCs w:val="22"/>
              </w:rPr>
            </w:pPr>
          </w:p>
          <w:p w14:paraId="597910DF" w14:textId="77777777" w:rsidR="005A3757" w:rsidRDefault="00747B1F">
            <w:pPr>
              <w:numPr>
                <w:ilvl w:val="0"/>
                <w:numId w:val="2"/>
              </w:numPr>
              <w:pBdr>
                <w:top w:val="nil"/>
                <w:left w:val="nil"/>
                <w:bottom w:val="nil"/>
                <w:right w:val="nil"/>
                <w:between w:val="nil"/>
              </w:pBdr>
              <w:shd w:val="clear" w:color="auto" w:fill="FFFFFF"/>
              <w:spacing w:after="0" w:line="240" w:lineRule="auto"/>
              <w:ind w:left="0"/>
              <w:rPr>
                <w:rFonts w:ascii="Arial" w:eastAsia="Arial" w:hAnsi="Arial" w:cs="Arial"/>
                <w:color w:val="000000"/>
                <w:sz w:val="22"/>
                <w:szCs w:val="22"/>
              </w:rPr>
            </w:pPr>
            <w:r>
              <w:rPr>
                <w:rFonts w:ascii="Arial" w:eastAsia="Arial" w:hAnsi="Arial" w:cs="Arial"/>
                <w:color w:val="000000"/>
                <w:sz w:val="22"/>
                <w:szCs w:val="22"/>
              </w:rPr>
              <w:t xml:space="preserve">Député de </w:t>
            </w:r>
            <w:r>
              <w:rPr>
                <w:rFonts w:ascii="Arial" w:eastAsia="Arial" w:hAnsi="Arial" w:cs="Arial"/>
                <w:color w:val="000000"/>
                <w:sz w:val="22"/>
                <w:szCs w:val="22"/>
                <w:highlight w:val="yellow"/>
              </w:rPr>
              <w:t>(nom de la circonscription)</w:t>
            </w:r>
          </w:p>
          <w:p w14:paraId="148932AD" w14:textId="77777777" w:rsidR="005A3757" w:rsidRDefault="00747B1F">
            <w:pPr>
              <w:numPr>
                <w:ilvl w:val="0"/>
                <w:numId w:val="1"/>
              </w:numPr>
              <w:pBdr>
                <w:top w:val="nil"/>
                <w:left w:val="nil"/>
                <w:bottom w:val="nil"/>
                <w:right w:val="nil"/>
                <w:between w:val="nil"/>
              </w:pBdr>
              <w:shd w:val="clear" w:color="auto" w:fill="FFFFFF"/>
              <w:spacing w:after="0" w:line="240" w:lineRule="auto"/>
              <w:ind w:left="0"/>
              <w:rPr>
                <w:rFonts w:ascii="Arial" w:eastAsia="Arial" w:hAnsi="Arial" w:cs="Arial"/>
                <w:color w:val="000000"/>
                <w:sz w:val="22"/>
                <w:szCs w:val="22"/>
              </w:rPr>
            </w:pPr>
            <w:r>
              <w:rPr>
                <w:rFonts w:ascii="Arial" w:eastAsia="Arial" w:hAnsi="Arial" w:cs="Arial"/>
                <w:color w:val="000000"/>
                <w:sz w:val="22"/>
                <w:szCs w:val="22"/>
              </w:rPr>
              <w:t> </w:t>
            </w:r>
          </w:p>
          <w:p w14:paraId="6E69CD65" w14:textId="77777777" w:rsidR="005A3757" w:rsidRDefault="00747B1F">
            <w:pPr>
              <w:numPr>
                <w:ilvl w:val="0"/>
                <w:numId w:val="2"/>
              </w:numPr>
              <w:pBdr>
                <w:top w:val="nil"/>
                <w:left w:val="nil"/>
                <w:bottom w:val="nil"/>
                <w:right w:val="nil"/>
                <w:between w:val="nil"/>
              </w:pBdr>
              <w:shd w:val="clear" w:color="auto" w:fill="FFFFFF"/>
              <w:spacing w:after="0" w:line="240" w:lineRule="auto"/>
              <w:ind w:left="0"/>
              <w:rPr>
                <w:rFonts w:ascii="Arial" w:eastAsia="Arial" w:hAnsi="Arial" w:cs="Arial"/>
                <w:color w:val="000000"/>
                <w:sz w:val="22"/>
                <w:szCs w:val="22"/>
              </w:rPr>
            </w:pPr>
            <w:r>
              <w:rPr>
                <w:rFonts w:ascii="Arial" w:eastAsia="Arial" w:hAnsi="Arial" w:cs="Arial"/>
                <w:color w:val="000000"/>
                <w:sz w:val="22"/>
                <w:szCs w:val="22"/>
                <w:highlight w:val="yellow"/>
              </w:rPr>
              <w:t>(Adresse courriel)</w:t>
            </w:r>
          </w:p>
          <w:p w14:paraId="6BF97E85" w14:textId="77777777" w:rsidR="005A3757" w:rsidRDefault="00747B1F">
            <w:pPr>
              <w:numPr>
                <w:ilvl w:val="0"/>
                <w:numId w:val="1"/>
              </w:numPr>
              <w:pBdr>
                <w:top w:val="nil"/>
                <w:left w:val="nil"/>
                <w:bottom w:val="nil"/>
                <w:right w:val="nil"/>
                <w:between w:val="nil"/>
              </w:pBdr>
              <w:shd w:val="clear" w:color="auto" w:fill="FFFFFF"/>
              <w:spacing w:after="0" w:line="240" w:lineRule="auto"/>
              <w:ind w:left="0"/>
              <w:rPr>
                <w:rFonts w:ascii="Arial" w:eastAsia="Arial" w:hAnsi="Arial" w:cs="Arial"/>
                <w:color w:val="000000"/>
                <w:sz w:val="22"/>
                <w:szCs w:val="22"/>
              </w:rPr>
            </w:pPr>
            <w:r>
              <w:rPr>
                <w:rFonts w:ascii="Arial" w:eastAsia="Arial" w:hAnsi="Arial" w:cs="Arial"/>
                <w:color w:val="000000"/>
                <w:sz w:val="22"/>
                <w:szCs w:val="22"/>
              </w:rPr>
              <w:br/>
            </w:r>
          </w:p>
          <w:p w14:paraId="5D77A4A2" w14:textId="77777777" w:rsidR="005A3757" w:rsidRDefault="005A3757"/>
        </w:tc>
        <w:tc>
          <w:tcPr>
            <w:tcW w:w="4380" w:type="dxa"/>
            <w:tcBorders>
              <w:left w:val="single" w:sz="4" w:space="0" w:color="000000"/>
            </w:tcBorders>
            <w:tcMar>
              <w:top w:w="100" w:type="dxa"/>
              <w:left w:w="100" w:type="dxa"/>
              <w:bottom w:w="100" w:type="dxa"/>
              <w:right w:w="100" w:type="dxa"/>
            </w:tcMar>
          </w:tcPr>
          <w:p w14:paraId="51F3BF7B" w14:textId="77777777" w:rsidR="005A3757" w:rsidRDefault="00747B1F">
            <w:pPr>
              <w:pBdr>
                <w:top w:val="nil"/>
                <w:left w:val="nil"/>
                <w:bottom w:val="nil"/>
                <w:right w:val="nil"/>
                <w:between w:val="nil"/>
              </w:pBdr>
              <w:spacing w:before="240" w:after="0" w:line="240" w:lineRule="auto"/>
              <w:jc w:val="both"/>
              <w:rPr>
                <w:color w:val="000000"/>
              </w:rPr>
            </w:pPr>
            <w:r>
              <w:rPr>
                <w:rFonts w:ascii="Arial" w:eastAsia="Arial" w:hAnsi="Arial" w:cs="Arial"/>
                <w:b/>
                <w:color w:val="000000"/>
                <w:sz w:val="22"/>
                <w:szCs w:val="22"/>
              </w:rPr>
              <w:t>M. Jean BOULET</w:t>
            </w:r>
          </w:p>
          <w:p w14:paraId="0F05A95A" w14:textId="77777777" w:rsidR="005A3757" w:rsidRDefault="00747B1F">
            <w:pPr>
              <w:pBdr>
                <w:top w:val="nil"/>
                <w:left w:val="nil"/>
                <w:bottom w:val="nil"/>
                <w:right w:val="nil"/>
                <w:between w:val="nil"/>
              </w:pBdr>
              <w:spacing w:before="240" w:after="0" w:line="240" w:lineRule="auto"/>
              <w:jc w:val="both"/>
              <w:rPr>
                <w:rFonts w:ascii="Arial" w:eastAsia="Arial" w:hAnsi="Arial" w:cs="Arial"/>
                <w:color w:val="000000"/>
                <w:sz w:val="22"/>
                <w:szCs w:val="22"/>
              </w:rPr>
            </w:pPr>
            <w:r>
              <w:rPr>
                <w:rFonts w:ascii="Arial" w:eastAsia="Arial" w:hAnsi="Arial" w:cs="Arial"/>
                <w:color w:val="000000"/>
                <w:sz w:val="22"/>
                <w:szCs w:val="22"/>
              </w:rPr>
              <w:t>Député de Trois-Rivières</w:t>
            </w:r>
          </w:p>
          <w:p w14:paraId="673EA91A" w14:textId="77777777" w:rsidR="005A3757" w:rsidRDefault="00747B1F">
            <w:pPr>
              <w:pBdr>
                <w:top w:val="nil"/>
                <w:left w:val="nil"/>
                <w:bottom w:val="nil"/>
                <w:right w:val="nil"/>
                <w:between w:val="nil"/>
              </w:pBdr>
              <w:spacing w:before="240" w:after="0" w:line="240" w:lineRule="auto"/>
              <w:jc w:val="both"/>
              <w:rPr>
                <w:color w:val="000000"/>
              </w:rPr>
            </w:pPr>
            <w:r>
              <w:rPr>
                <w:rFonts w:ascii="Arial" w:eastAsia="Arial" w:hAnsi="Arial" w:cs="Arial"/>
                <w:color w:val="000000"/>
                <w:sz w:val="22"/>
                <w:szCs w:val="22"/>
              </w:rPr>
              <w:t>Ministre du Travail, de l’Emploi et de la Solidarité sociale</w:t>
            </w:r>
          </w:p>
          <w:p w14:paraId="69EA2841" w14:textId="77777777" w:rsidR="005A3757" w:rsidRDefault="004C5525">
            <w:pPr>
              <w:pBdr>
                <w:top w:val="nil"/>
                <w:left w:val="nil"/>
                <w:bottom w:val="nil"/>
                <w:right w:val="nil"/>
                <w:between w:val="nil"/>
              </w:pBdr>
              <w:spacing w:before="240" w:after="0" w:line="240" w:lineRule="auto"/>
              <w:jc w:val="both"/>
              <w:rPr>
                <w:color w:val="000000"/>
              </w:rPr>
            </w:pPr>
            <w:hyperlink r:id="rId6">
              <w:r w:rsidR="00747B1F">
                <w:rPr>
                  <w:rFonts w:ascii="Arial" w:eastAsia="Arial" w:hAnsi="Arial" w:cs="Arial"/>
                  <w:color w:val="0000FF"/>
                  <w:sz w:val="22"/>
                  <w:szCs w:val="22"/>
                  <w:u w:val="single"/>
                </w:rPr>
                <w:t>ministre@mtess.gouv.qc.ca</w:t>
              </w:r>
            </w:hyperlink>
          </w:p>
          <w:p w14:paraId="57172F56" w14:textId="77777777" w:rsidR="005A3757" w:rsidRDefault="00747B1F">
            <w:pPr>
              <w:pBdr>
                <w:top w:val="nil"/>
                <w:left w:val="nil"/>
                <w:bottom w:val="nil"/>
                <w:right w:val="nil"/>
                <w:between w:val="nil"/>
              </w:pBdr>
              <w:spacing w:before="240" w:after="0" w:line="240" w:lineRule="auto"/>
              <w:jc w:val="both"/>
              <w:rPr>
                <w:color w:val="000000"/>
              </w:rPr>
            </w:pPr>
            <w:r>
              <w:rPr>
                <w:rFonts w:ascii="Arial" w:eastAsia="Arial" w:hAnsi="Arial" w:cs="Arial"/>
                <w:b/>
                <w:color w:val="000000"/>
                <w:sz w:val="22"/>
                <w:szCs w:val="22"/>
              </w:rPr>
              <w:t> </w:t>
            </w:r>
          </w:p>
        </w:tc>
      </w:tr>
    </w:tbl>
    <w:p w14:paraId="571093C5" w14:textId="77777777" w:rsidR="005A3757" w:rsidRDefault="005A3757"/>
    <w:p w14:paraId="3201E3DA" w14:textId="77777777" w:rsidR="005A3757" w:rsidRDefault="00747B1F">
      <w:pPr>
        <w:pBdr>
          <w:top w:val="nil"/>
          <w:left w:val="nil"/>
          <w:bottom w:val="nil"/>
          <w:right w:val="nil"/>
          <w:between w:val="nil"/>
        </w:pBdr>
        <w:spacing w:before="240" w:after="0" w:line="240" w:lineRule="auto"/>
        <w:jc w:val="center"/>
        <w:rPr>
          <w:b/>
        </w:rPr>
      </w:pPr>
      <w:r>
        <w:rPr>
          <w:b/>
          <w:color w:val="000000"/>
        </w:rPr>
        <w:t xml:space="preserve">Prestation canadienne </w:t>
      </w:r>
      <w:r>
        <w:rPr>
          <w:b/>
        </w:rPr>
        <w:t>d’urgence</w:t>
      </w:r>
      <w:r>
        <w:rPr>
          <w:b/>
          <w:color w:val="000000"/>
        </w:rPr>
        <w:t xml:space="preserve"> </w:t>
      </w:r>
      <w:r>
        <w:rPr>
          <w:b/>
        </w:rPr>
        <w:t xml:space="preserve">et </w:t>
      </w:r>
      <w:r>
        <w:rPr>
          <w:b/>
          <w:color w:val="000000"/>
        </w:rPr>
        <w:t>aide financière de dernier recours</w:t>
      </w:r>
    </w:p>
    <w:p w14:paraId="0D8F02A2" w14:textId="77777777" w:rsidR="005A3757" w:rsidRDefault="00747B1F">
      <w:pPr>
        <w:pBdr>
          <w:top w:val="nil"/>
          <w:left w:val="nil"/>
          <w:bottom w:val="nil"/>
          <w:right w:val="nil"/>
          <w:between w:val="nil"/>
        </w:pBdr>
        <w:spacing w:after="0" w:line="240" w:lineRule="auto"/>
        <w:jc w:val="center"/>
        <w:rPr>
          <w:color w:val="000000"/>
          <w:sz w:val="28"/>
          <w:szCs w:val="28"/>
        </w:rPr>
      </w:pPr>
      <w:r>
        <w:rPr>
          <w:b/>
          <w:color w:val="000000"/>
          <w:sz w:val="28"/>
          <w:szCs w:val="28"/>
        </w:rPr>
        <w:t>Il est urgent d’imposer un moratoire sur le remboursement des dettes</w:t>
      </w:r>
    </w:p>
    <w:p w14:paraId="4264AB90" w14:textId="77777777" w:rsidR="005A3757" w:rsidRDefault="005A3757"/>
    <w:p w14:paraId="2B167B52" w14:textId="77777777" w:rsidR="005A3757" w:rsidRDefault="00747B1F">
      <w:pPr>
        <w:pBdr>
          <w:top w:val="nil"/>
          <w:left w:val="nil"/>
          <w:bottom w:val="nil"/>
          <w:right w:val="nil"/>
          <w:between w:val="nil"/>
        </w:pBdr>
        <w:spacing w:before="240" w:after="240"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Une </w:t>
      </w:r>
      <w:r>
        <w:rPr>
          <w:rFonts w:ascii="Arial" w:eastAsia="Arial" w:hAnsi="Arial" w:cs="Arial"/>
          <w:sz w:val="22"/>
          <w:szCs w:val="22"/>
        </w:rPr>
        <w:t>prestation d'aide financière de dernier recours peut être aussi basse que 690 $ par mois. Cela</w:t>
      </w:r>
      <w:r>
        <w:rPr>
          <w:rFonts w:ascii="Arial" w:eastAsia="Arial" w:hAnsi="Arial" w:cs="Arial"/>
          <w:color w:val="000000"/>
          <w:sz w:val="22"/>
          <w:szCs w:val="22"/>
        </w:rPr>
        <w:t xml:space="preserve"> représente à peine la moitié du revenu nécessaire pour couvrir ses besoins de base, tel que reconnu par le gouvernement du Québec. </w:t>
      </w:r>
    </w:p>
    <w:p w14:paraId="1885C19F" w14:textId="77777777" w:rsidR="005A3757" w:rsidRDefault="00747B1F">
      <w:pPr>
        <w:pBdr>
          <w:top w:val="nil"/>
          <w:left w:val="nil"/>
          <w:bottom w:val="nil"/>
          <w:right w:val="nil"/>
          <w:between w:val="nil"/>
        </w:pBdr>
        <w:spacing w:before="240" w:after="240" w:line="240" w:lineRule="auto"/>
        <w:jc w:val="both"/>
        <w:rPr>
          <w:color w:val="000000"/>
        </w:rPr>
      </w:pPr>
      <w:r>
        <w:rPr>
          <w:rFonts w:ascii="Arial" w:eastAsia="Arial" w:hAnsi="Arial" w:cs="Arial"/>
          <w:color w:val="000000"/>
          <w:sz w:val="22"/>
          <w:szCs w:val="22"/>
        </w:rPr>
        <w:t xml:space="preserve">Même dans le contexte la crise sanitaire actuelle, </w:t>
      </w:r>
      <w:r>
        <w:rPr>
          <w:rFonts w:ascii="Arial" w:eastAsia="Arial" w:hAnsi="Arial" w:cs="Arial"/>
          <w:sz w:val="22"/>
          <w:szCs w:val="22"/>
        </w:rPr>
        <w:t>les prestataires d’aide financière de dernier recours</w:t>
      </w:r>
      <w:r>
        <w:rPr>
          <w:rFonts w:ascii="Arial" w:eastAsia="Arial" w:hAnsi="Arial" w:cs="Arial"/>
          <w:color w:val="000000"/>
          <w:sz w:val="22"/>
          <w:szCs w:val="22"/>
        </w:rPr>
        <w:t xml:space="preserve"> n’ont reçu aucune bonification de leurs prestations. Pourtant, p</w:t>
      </w:r>
      <w:r>
        <w:rPr>
          <w:rFonts w:ascii="Arial" w:eastAsia="Arial" w:hAnsi="Arial" w:cs="Arial"/>
          <w:sz w:val="22"/>
          <w:szCs w:val="22"/>
        </w:rPr>
        <w:t>lus souvent qu’autrement, ces personnes</w:t>
      </w:r>
      <w:r>
        <w:rPr>
          <w:rFonts w:ascii="Arial" w:eastAsia="Arial" w:hAnsi="Arial" w:cs="Arial"/>
          <w:color w:val="000000"/>
          <w:sz w:val="22"/>
          <w:szCs w:val="22"/>
        </w:rPr>
        <w:t xml:space="preserve"> n’ont pu recourir aux services des organismes communautaires ou des banques alimentaires, essentiels pour les aider à boucler leur budget, car plusieurs ont dû fermer temporaire</w:t>
      </w:r>
      <w:r>
        <w:rPr>
          <w:rFonts w:ascii="Arial" w:eastAsia="Arial" w:hAnsi="Arial" w:cs="Arial"/>
          <w:sz w:val="22"/>
          <w:szCs w:val="22"/>
        </w:rPr>
        <w:t xml:space="preserve">ment leurs portes ou restreindre </w:t>
      </w:r>
      <w:r>
        <w:rPr>
          <w:rFonts w:ascii="Arial" w:eastAsia="Arial" w:hAnsi="Arial" w:cs="Arial"/>
          <w:color w:val="000000"/>
          <w:sz w:val="22"/>
          <w:szCs w:val="22"/>
        </w:rPr>
        <w:t>leurs activités. Encore aujourd’hui, les prestataires d’aide financière de dernier recours doivent faire face à des dépenses supplémentaires, par exemple pour l’achat de masques devenus obligatoires dans les espaces publics.</w:t>
      </w:r>
    </w:p>
    <w:p w14:paraId="5E61B984" w14:textId="77777777" w:rsidR="005A3757" w:rsidRDefault="00747B1F">
      <w:pPr>
        <w:pBdr>
          <w:top w:val="nil"/>
          <w:left w:val="nil"/>
          <w:bottom w:val="nil"/>
          <w:right w:val="nil"/>
          <w:between w:val="nil"/>
        </w:pBdr>
        <w:spacing w:before="240" w:after="240" w:line="240" w:lineRule="auto"/>
        <w:jc w:val="both"/>
        <w:rPr>
          <w:color w:val="000000"/>
        </w:rPr>
      </w:pPr>
      <w:r>
        <w:rPr>
          <w:rFonts w:ascii="Arial" w:eastAsia="Arial" w:hAnsi="Arial" w:cs="Arial"/>
          <w:color w:val="000000"/>
          <w:sz w:val="22"/>
          <w:szCs w:val="22"/>
        </w:rPr>
        <w:t xml:space="preserve">Lors de la mise en œuvre de la Prestation </w:t>
      </w:r>
      <w:r>
        <w:rPr>
          <w:rFonts w:ascii="Arial" w:eastAsia="Arial" w:hAnsi="Arial" w:cs="Arial"/>
          <w:sz w:val="22"/>
          <w:szCs w:val="22"/>
        </w:rPr>
        <w:t>c</w:t>
      </w:r>
      <w:r>
        <w:rPr>
          <w:rFonts w:ascii="Arial" w:eastAsia="Arial" w:hAnsi="Arial" w:cs="Arial"/>
          <w:color w:val="000000"/>
          <w:sz w:val="22"/>
          <w:szCs w:val="22"/>
        </w:rPr>
        <w:t>anadienne d’</w:t>
      </w:r>
      <w:r>
        <w:rPr>
          <w:rFonts w:ascii="Arial" w:eastAsia="Arial" w:hAnsi="Arial" w:cs="Arial"/>
          <w:sz w:val="22"/>
          <w:szCs w:val="22"/>
        </w:rPr>
        <w:t>u</w:t>
      </w:r>
      <w:r>
        <w:rPr>
          <w:rFonts w:ascii="Arial" w:eastAsia="Arial" w:hAnsi="Arial" w:cs="Arial"/>
          <w:color w:val="000000"/>
          <w:sz w:val="22"/>
          <w:szCs w:val="22"/>
        </w:rPr>
        <w:t>rgence (PC</w:t>
      </w:r>
      <w:r>
        <w:rPr>
          <w:rFonts w:ascii="Arial" w:eastAsia="Arial" w:hAnsi="Arial" w:cs="Arial"/>
          <w:sz w:val="22"/>
          <w:szCs w:val="22"/>
        </w:rPr>
        <w:t>U)</w:t>
      </w:r>
      <w:r>
        <w:rPr>
          <w:rFonts w:ascii="Arial" w:eastAsia="Arial" w:hAnsi="Arial" w:cs="Arial"/>
          <w:color w:val="000000"/>
          <w:sz w:val="22"/>
          <w:szCs w:val="22"/>
        </w:rPr>
        <w:t>, l’Agence du revenu du Canada (ARC) a mis en place une démarche très simple pour que les personnes puissent y accéder rapidement. Cependant, dès le départ, les règles entourant l‘attribution de cette prestation aux prestataires d’aide financière de dernier recours n’ont pas été clairement établies. Il existe ainsi une multitude de situations où ces personnes ont pu obtenir la PCU sans y avoir droit.</w:t>
      </w:r>
    </w:p>
    <w:p w14:paraId="6616E51A" w14:textId="77777777" w:rsidR="005A3757" w:rsidRDefault="00747B1F" w:rsidP="00747B1F">
      <w:pPr>
        <w:spacing w:after="0" w:line="240" w:lineRule="auto"/>
        <w:jc w:val="both"/>
        <w:rPr>
          <w:rFonts w:ascii="Arial" w:eastAsia="Arial" w:hAnsi="Arial" w:cs="Arial"/>
          <w:sz w:val="22"/>
          <w:szCs w:val="22"/>
        </w:rPr>
      </w:pPr>
      <w:r>
        <w:rPr>
          <w:rFonts w:ascii="Arial" w:eastAsia="Arial" w:hAnsi="Arial" w:cs="Arial"/>
          <w:sz w:val="22"/>
          <w:szCs w:val="22"/>
        </w:rPr>
        <w:t>À l’hiver 2021, le gouvernement du Canada devrait commencer ses enquêtes afin de déterminer si les personnes qui ont reçu la PCU y avaient effectivement droit. À maintes reprises, il a répété que les sommes perçues indûment seraient réclamées par l’ARC, sans toutefois être clair sur la procédure de recouvrement.</w:t>
      </w:r>
    </w:p>
    <w:p w14:paraId="176002B8" w14:textId="77777777" w:rsidR="005A3757" w:rsidRDefault="00747B1F">
      <w:pP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 </w:t>
      </w:r>
    </w:p>
    <w:p w14:paraId="59551260" w14:textId="77777777" w:rsidR="005A3757" w:rsidRDefault="00747B1F">
      <w:pPr>
        <w:pBdr>
          <w:top w:val="nil"/>
          <w:left w:val="nil"/>
          <w:bottom w:val="nil"/>
          <w:right w:val="nil"/>
          <w:between w:val="nil"/>
        </w:pBdr>
        <w:spacing w:before="240" w:after="240" w:line="240" w:lineRule="auto"/>
        <w:jc w:val="both"/>
        <w:rPr>
          <w:rFonts w:ascii="Arial" w:eastAsia="Arial" w:hAnsi="Arial" w:cs="Arial"/>
          <w:color w:val="000000"/>
          <w:sz w:val="22"/>
          <w:szCs w:val="22"/>
        </w:rPr>
      </w:pPr>
      <w:r>
        <w:rPr>
          <w:rFonts w:ascii="Arial" w:eastAsia="Arial" w:hAnsi="Arial" w:cs="Arial"/>
          <w:color w:val="000000"/>
          <w:sz w:val="22"/>
          <w:szCs w:val="22"/>
        </w:rPr>
        <w:lastRenderedPageBreak/>
        <w:t>Du côté du gouvernement québécois, il s</w:t>
      </w:r>
      <w:r>
        <w:rPr>
          <w:rFonts w:ascii="Arial" w:eastAsia="Arial" w:hAnsi="Arial" w:cs="Arial"/>
          <w:sz w:val="22"/>
          <w:szCs w:val="22"/>
        </w:rPr>
        <w:t xml:space="preserve">’avère que le ministère du Travail, de l’Emploi et de la Solidarité sociale </w:t>
      </w:r>
      <w:r>
        <w:rPr>
          <w:rFonts w:ascii="Arial" w:eastAsia="Arial" w:hAnsi="Arial" w:cs="Arial"/>
          <w:color w:val="000000"/>
          <w:sz w:val="22"/>
          <w:szCs w:val="22"/>
        </w:rPr>
        <w:t xml:space="preserve">considère que les sommes perçues au titre de la PCU </w:t>
      </w:r>
      <w:r>
        <w:rPr>
          <w:rFonts w:ascii="Arial" w:eastAsia="Arial" w:hAnsi="Arial" w:cs="Arial"/>
          <w:b/>
          <w:color w:val="000000"/>
          <w:sz w:val="22"/>
          <w:szCs w:val="22"/>
        </w:rPr>
        <w:t>sont des revenus de travail</w:t>
      </w:r>
      <w:r>
        <w:rPr>
          <w:rFonts w:ascii="Arial" w:eastAsia="Arial" w:hAnsi="Arial" w:cs="Arial"/>
          <w:color w:val="000000"/>
          <w:sz w:val="22"/>
          <w:szCs w:val="22"/>
        </w:rPr>
        <w:t xml:space="preserve">, tout comme l’assurance-emploi. Dernièrement, ce même ministère a annoncé qu’il n’y aurait pas de procédures de recouvrement si les prestataires d’aide financière de dernier recours apportaient la preuve du remboursement de la PCU à l’ARC ou d’une entente de remboursement des sommes perçues. </w:t>
      </w:r>
    </w:p>
    <w:p w14:paraId="2FAEDC4B" w14:textId="77777777" w:rsidR="005A3757" w:rsidRDefault="00747B1F">
      <w:pPr>
        <w:pBdr>
          <w:top w:val="nil"/>
          <w:left w:val="nil"/>
          <w:bottom w:val="nil"/>
          <w:right w:val="nil"/>
          <w:between w:val="nil"/>
        </w:pBdr>
        <w:spacing w:before="240" w:after="240" w:line="240" w:lineRule="auto"/>
        <w:jc w:val="both"/>
        <w:rPr>
          <w:color w:val="000000"/>
        </w:rPr>
      </w:pPr>
      <w:r>
        <w:rPr>
          <w:rFonts w:ascii="Arial" w:eastAsia="Arial" w:hAnsi="Arial" w:cs="Arial"/>
          <w:color w:val="000000"/>
          <w:sz w:val="22"/>
          <w:szCs w:val="22"/>
        </w:rPr>
        <w:t>Mais voilà, l</w:t>
      </w:r>
      <w:r>
        <w:rPr>
          <w:rFonts w:ascii="Arial" w:eastAsia="Arial" w:hAnsi="Arial" w:cs="Arial"/>
          <w:sz w:val="22"/>
          <w:szCs w:val="22"/>
        </w:rPr>
        <w:t xml:space="preserve">’ARC </w:t>
      </w:r>
      <w:r>
        <w:rPr>
          <w:rFonts w:ascii="Arial" w:eastAsia="Arial" w:hAnsi="Arial" w:cs="Arial"/>
          <w:color w:val="000000"/>
          <w:sz w:val="22"/>
          <w:szCs w:val="22"/>
        </w:rPr>
        <w:t xml:space="preserve">n’a annoncé aucune modalité de remboursement et aucune entente n’est possible en ce moment. Des personnes et des </w:t>
      </w:r>
      <w:proofErr w:type="spellStart"/>
      <w:r>
        <w:rPr>
          <w:rFonts w:ascii="Arial" w:eastAsia="Arial" w:hAnsi="Arial" w:cs="Arial"/>
          <w:color w:val="000000"/>
          <w:sz w:val="22"/>
          <w:szCs w:val="22"/>
        </w:rPr>
        <w:t>intervenant</w:t>
      </w:r>
      <w:r>
        <w:rPr>
          <w:rFonts w:ascii="Calibri" w:eastAsia="Calibri" w:hAnsi="Calibri" w:cs="Calibri"/>
          <w:color w:val="000000"/>
          <w:sz w:val="22"/>
          <w:szCs w:val="22"/>
        </w:rPr>
        <w:t>·</w:t>
      </w:r>
      <w:r>
        <w:rPr>
          <w:rFonts w:ascii="Arial" w:eastAsia="Arial" w:hAnsi="Arial" w:cs="Arial"/>
          <w:color w:val="000000"/>
          <w:sz w:val="22"/>
          <w:szCs w:val="22"/>
        </w:rPr>
        <w:t>e</w:t>
      </w:r>
      <w:r>
        <w:rPr>
          <w:rFonts w:ascii="Calibri" w:eastAsia="Calibri" w:hAnsi="Calibri" w:cs="Calibri"/>
          <w:color w:val="000000"/>
          <w:sz w:val="22"/>
          <w:szCs w:val="22"/>
        </w:rPr>
        <w:t>·</w:t>
      </w:r>
      <w:r>
        <w:rPr>
          <w:rFonts w:ascii="Arial" w:eastAsia="Arial" w:hAnsi="Arial" w:cs="Arial"/>
          <w:color w:val="000000"/>
          <w:sz w:val="22"/>
          <w:szCs w:val="22"/>
        </w:rPr>
        <w:t>s</w:t>
      </w:r>
      <w:proofErr w:type="spellEnd"/>
      <w:r>
        <w:rPr>
          <w:rFonts w:ascii="Arial" w:eastAsia="Arial" w:hAnsi="Arial" w:cs="Arial"/>
          <w:color w:val="000000"/>
          <w:sz w:val="22"/>
          <w:szCs w:val="22"/>
        </w:rPr>
        <w:t xml:space="preserve"> d’organisme ont passé des heures au téléphone pour se rendre compte, finalement, qu’il est tout simplement impossible d’avoir une entente de remboursement. </w:t>
      </w:r>
    </w:p>
    <w:p w14:paraId="624606E8" w14:textId="77777777" w:rsidR="005A3757" w:rsidRDefault="00747B1F">
      <w:pPr>
        <w:pBdr>
          <w:top w:val="nil"/>
          <w:left w:val="nil"/>
          <w:bottom w:val="nil"/>
          <w:right w:val="nil"/>
          <w:between w:val="nil"/>
        </w:pBdr>
        <w:spacing w:before="240" w:after="240" w:line="240" w:lineRule="auto"/>
        <w:jc w:val="both"/>
        <w:rPr>
          <w:rFonts w:ascii="Arial" w:eastAsia="Arial" w:hAnsi="Arial" w:cs="Arial"/>
          <w:b/>
          <w:color w:val="000000"/>
          <w:sz w:val="22"/>
          <w:szCs w:val="22"/>
        </w:rPr>
      </w:pPr>
      <w:r>
        <w:rPr>
          <w:rFonts w:ascii="Arial" w:eastAsia="Arial" w:hAnsi="Arial" w:cs="Arial"/>
          <w:b/>
          <w:color w:val="000000"/>
          <w:sz w:val="22"/>
          <w:szCs w:val="22"/>
        </w:rPr>
        <w:t>Le cœur du problème, c’est que les prestataires d’aide financière de dernier recours qui ont perçu la PCU sans y avoir droit (et à qui l</w:t>
      </w:r>
      <w:r>
        <w:rPr>
          <w:rFonts w:ascii="Arial" w:eastAsia="Arial" w:hAnsi="Arial" w:cs="Arial"/>
          <w:b/>
          <w:sz w:val="22"/>
          <w:szCs w:val="22"/>
        </w:rPr>
        <w:t>’ARC</w:t>
      </w:r>
      <w:r>
        <w:rPr>
          <w:rFonts w:ascii="Arial" w:eastAsia="Arial" w:hAnsi="Arial" w:cs="Arial"/>
          <w:b/>
          <w:color w:val="000000"/>
          <w:sz w:val="22"/>
          <w:szCs w:val="22"/>
        </w:rPr>
        <w:t xml:space="preserve"> exigera un remboursement) voient déjà leur maigre prestation amputée d’un montant important. Rappelons-le, on parle ici de couper la prestation de personnes qui ne disposent pas du minimum requis pour vivre. </w:t>
      </w:r>
    </w:p>
    <w:p w14:paraId="3383CE12" w14:textId="77777777" w:rsidR="005A3757" w:rsidRDefault="00747B1F">
      <w:pPr>
        <w:pBdr>
          <w:top w:val="nil"/>
          <w:left w:val="nil"/>
          <w:bottom w:val="nil"/>
          <w:right w:val="nil"/>
          <w:between w:val="nil"/>
        </w:pBdr>
        <w:spacing w:before="240" w:after="240" w:line="240" w:lineRule="auto"/>
        <w:jc w:val="both"/>
        <w:rPr>
          <w:color w:val="000000"/>
        </w:rPr>
      </w:pPr>
      <w:r>
        <w:rPr>
          <w:rFonts w:ascii="Arial" w:eastAsia="Arial" w:hAnsi="Arial" w:cs="Arial"/>
          <w:color w:val="000000"/>
          <w:sz w:val="22"/>
          <w:szCs w:val="22"/>
        </w:rPr>
        <w:t>Cela a et aura pour conséquence de priver ces personnes de leur moyen de subsistance, et ce pendant plusieurs mois ou années. En plus, elles se retrouveront probablement dans une situation de double dette où elles devront rembourser à la fois la PCU, au fédéral, et l’aide financière de dernier recours, au provincial. </w:t>
      </w:r>
    </w:p>
    <w:p w14:paraId="62854F92" w14:textId="77777777" w:rsidR="005A3757" w:rsidRDefault="00747B1F">
      <w:pPr>
        <w:pBdr>
          <w:top w:val="nil"/>
          <w:left w:val="nil"/>
          <w:bottom w:val="nil"/>
          <w:right w:val="nil"/>
          <w:between w:val="nil"/>
        </w:pBdr>
        <w:spacing w:before="240" w:after="240"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Pour toutes ces raisons, </w:t>
      </w:r>
      <w:r>
        <w:rPr>
          <w:rFonts w:ascii="Arial" w:eastAsia="Arial" w:hAnsi="Arial" w:cs="Arial"/>
          <w:color w:val="000000"/>
          <w:sz w:val="22"/>
          <w:szCs w:val="22"/>
          <w:highlight w:val="yellow"/>
        </w:rPr>
        <w:t>(nom de l’organisation)</w:t>
      </w:r>
      <w:r>
        <w:rPr>
          <w:rFonts w:ascii="Arial" w:eastAsia="Arial" w:hAnsi="Arial" w:cs="Arial"/>
          <w:color w:val="000000"/>
          <w:sz w:val="22"/>
          <w:szCs w:val="22"/>
        </w:rPr>
        <w:t xml:space="preserve"> exige que, minimalement, le gouvernement du Québec impose un </w:t>
      </w:r>
      <w:r>
        <w:rPr>
          <w:rFonts w:ascii="Arial" w:eastAsia="Arial" w:hAnsi="Arial" w:cs="Arial"/>
          <w:b/>
          <w:color w:val="000000"/>
          <w:sz w:val="22"/>
          <w:szCs w:val="22"/>
        </w:rPr>
        <w:t>moratoire sur le remboursement des dettes contractées par les prestataires d’aide financière de dernier recours qui auraient reçu la PCU sans y avoir droit</w:t>
      </w:r>
      <w:r>
        <w:rPr>
          <w:rFonts w:ascii="Arial" w:eastAsia="Arial" w:hAnsi="Arial" w:cs="Arial"/>
          <w:color w:val="000000"/>
          <w:sz w:val="22"/>
          <w:szCs w:val="22"/>
        </w:rPr>
        <w:t>, et ce, tant que le gouvernement du Canada n’aura pas dévoilé un plan clair pour traiter les dossiers de ces personnes.</w:t>
      </w:r>
    </w:p>
    <w:p w14:paraId="2F4A755F" w14:textId="77777777" w:rsidR="005A3757" w:rsidRDefault="00747B1F">
      <w:pPr>
        <w:pBdr>
          <w:top w:val="nil"/>
          <w:left w:val="nil"/>
          <w:bottom w:val="nil"/>
          <w:right w:val="nil"/>
          <w:between w:val="nil"/>
        </w:pBdr>
        <w:shd w:val="clear" w:color="auto" w:fill="FFFFFF"/>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Il serait par ailleurs important que le gouvernement du Québec informe officiellement les prestataires d’aide financière de dernier recours de cette décision. </w:t>
      </w:r>
    </w:p>
    <w:p w14:paraId="5685957A" w14:textId="77777777" w:rsidR="005A3757" w:rsidRDefault="005A3757">
      <w:pPr>
        <w:pBdr>
          <w:top w:val="nil"/>
          <w:left w:val="nil"/>
          <w:bottom w:val="nil"/>
          <w:right w:val="nil"/>
          <w:between w:val="nil"/>
        </w:pBdr>
        <w:shd w:val="clear" w:color="auto" w:fill="FFFFFF"/>
        <w:spacing w:after="0" w:line="240" w:lineRule="auto"/>
        <w:ind w:left="720"/>
        <w:jc w:val="both"/>
        <w:rPr>
          <w:rFonts w:ascii="Arial" w:eastAsia="Arial" w:hAnsi="Arial" w:cs="Arial"/>
          <w:sz w:val="22"/>
          <w:szCs w:val="22"/>
        </w:rPr>
      </w:pPr>
    </w:p>
    <w:p w14:paraId="5DC44C99" w14:textId="77777777" w:rsidR="005A3757" w:rsidRDefault="00747B1F">
      <w:pPr>
        <w:pBdr>
          <w:top w:val="nil"/>
          <w:left w:val="nil"/>
          <w:bottom w:val="nil"/>
          <w:right w:val="nil"/>
          <w:between w:val="nil"/>
        </w:pBdr>
        <w:shd w:val="clear" w:color="auto" w:fill="FFFFFF"/>
        <w:spacing w:after="0" w:line="240" w:lineRule="auto"/>
        <w:jc w:val="both"/>
        <w:rPr>
          <w:color w:val="000000"/>
        </w:rPr>
      </w:pPr>
      <w:r>
        <w:rPr>
          <w:rFonts w:ascii="Arial" w:eastAsia="Arial" w:hAnsi="Arial" w:cs="Arial"/>
          <w:color w:val="000000"/>
          <w:sz w:val="22"/>
          <w:szCs w:val="22"/>
        </w:rPr>
        <w:t>Dans l’attente d’une réponse rapide de votre part.  </w:t>
      </w:r>
    </w:p>
    <w:p w14:paraId="4EBB7D45" w14:textId="77777777" w:rsidR="005A3757" w:rsidRDefault="005A3757"/>
    <w:p w14:paraId="09C1AB4B" w14:textId="77777777" w:rsidR="005A3757" w:rsidRDefault="00747B1F">
      <w:pPr>
        <w:pBdr>
          <w:top w:val="nil"/>
          <w:left w:val="nil"/>
          <w:bottom w:val="nil"/>
          <w:right w:val="nil"/>
          <w:between w:val="nil"/>
        </w:pBdr>
        <w:spacing w:after="0" w:line="240" w:lineRule="auto"/>
        <w:rPr>
          <w:color w:val="000000"/>
        </w:rPr>
      </w:pPr>
      <w:r>
        <w:rPr>
          <w:rFonts w:ascii="Arial" w:eastAsia="Arial" w:hAnsi="Arial" w:cs="Arial"/>
          <w:b/>
          <w:color w:val="000000"/>
          <w:sz w:val="22"/>
          <w:szCs w:val="22"/>
          <w:highlight w:val="yellow"/>
        </w:rPr>
        <w:t>(Nom de l’organisation et nom d’une personne signataire)</w:t>
      </w:r>
    </w:p>
    <w:p w14:paraId="65D50CF3" w14:textId="77777777" w:rsidR="005A3757" w:rsidRDefault="005A3757"/>
    <w:sectPr w:rsidR="005A375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84BBB"/>
    <w:multiLevelType w:val="multilevel"/>
    <w:tmpl w:val="32707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01763F"/>
    <w:multiLevelType w:val="multilevel"/>
    <w:tmpl w:val="630661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57"/>
    <w:rsid w:val="004C5525"/>
    <w:rsid w:val="005A3757"/>
    <w:rsid w:val="00747B1F"/>
    <w:rsid w:val="00DB29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2C2B"/>
  <w15:docId w15:val="{643F14C5-BBD0-4C87-A9CB-DBE4762E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CA" w:eastAsia="fr-CA"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6654"/>
    <w:pPr>
      <w:spacing w:before="100" w:beforeAutospacing="1" w:after="100" w:afterAutospacing="1" w:line="240" w:lineRule="auto"/>
      <w:outlineLvl w:val="0"/>
    </w:pPr>
    <w:rPr>
      <w:b/>
      <w:bCs/>
      <w:kern w:val="36"/>
      <w:sz w:val="48"/>
      <w:szCs w:val="48"/>
      <w:lang w:val="en-CA" w:eastAsia="en-C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95CA3"/>
    <w:pPr>
      <w:spacing w:before="100" w:beforeAutospacing="1" w:after="100" w:afterAutospacing="1" w:line="240" w:lineRule="auto"/>
    </w:pPr>
  </w:style>
  <w:style w:type="character" w:customStyle="1" w:styleId="apple-tab-span">
    <w:name w:val="apple-tab-span"/>
    <w:basedOn w:val="DefaultParagraphFont"/>
    <w:rsid w:val="00695CA3"/>
  </w:style>
  <w:style w:type="character" w:customStyle="1" w:styleId="Heading1Char">
    <w:name w:val="Heading 1 Char"/>
    <w:basedOn w:val="DefaultParagraphFont"/>
    <w:link w:val="Heading1"/>
    <w:uiPriority w:val="9"/>
    <w:rsid w:val="00B06654"/>
    <w:rPr>
      <w:rFonts w:eastAsia="Times New Roman" w:cs="Times New Roman"/>
      <w:b/>
      <w:bCs/>
      <w:kern w:val="36"/>
      <w:sz w:val="48"/>
      <w:szCs w:val="48"/>
      <w:lang w:val="en-CA" w:eastAsia="en-CA"/>
    </w:rPr>
  </w:style>
  <w:style w:type="character" w:customStyle="1" w:styleId="nomdepute">
    <w:name w:val="nomdepute"/>
    <w:basedOn w:val="DefaultParagraphFont"/>
    <w:rsid w:val="00B06654"/>
  </w:style>
  <w:style w:type="character" w:styleId="Hyperlink">
    <w:name w:val="Hyperlink"/>
    <w:basedOn w:val="DefaultParagraphFont"/>
    <w:uiPriority w:val="99"/>
    <w:unhideWhenUsed/>
    <w:rsid w:val="00B06654"/>
    <w:rPr>
      <w:color w:val="0000FF"/>
      <w:u w:val="single"/>
    </w:rPr>
  </w:style>
  <w:style w:type="character" w:styleId="UnresolvedMention">
    <w:name w:val="Unresolved Mention"/>
    <w:basedOn w:val="DefaultParagraphFont"/>
    <w:uiPriority w:val="99"/>
    <w:semiHidden/>
    <w:unhideWhenUsed/>
    <w:rsid w:val="00B06654"/>
    <w:rPr>
      <w:color w:val="605E5C"/>
      <w:shd w:val="clear" w:color="auto" w:fill="E1DFDD"/>
    </w:rPr>
  </w:style>
  <w:style w:type="paragraph" w:styleId="ListParagraph">
    <w:name w:val="List Paragraph"/>
    <w:basedOn w:val="Normal"/>
    <w:uiPriority w:val="34"/>
    <w:qFormat/>
    <w:rsid w:val="00BE35E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2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5F6"/>
    <w:rPr>
      <w:rFonts w:ascii="Segoe UI" w:hAnsi="Segoe UI" w:cs="Segoe UI"/>
      <w:sz w:val="18"/>
      <w:szCs w:val="18"/>
    </w:rPr>
  </w:style>
  <w:style w:type="table" w:customStyle="1" w:styleId="TableNormal10">
    <w:name w:val="Table Normal1"/>
    <w:rsid w:val="00964301"/>
    <w:tblPr>
      <w:tblCellMar>
        <w:top w:w="0" w:type="dxa"/>
        <w:left w:w="0" w:type="dxa"/>
        <w:bottom w:w="0" w:type="dxa"/>
        <w:right w:w="0" w:type="dxa"/>
      </w:tblCellMar>
    </w:tblPr>
  </w:style>
  <w:style w:type="paragraph" w:styleId="Revision">
    <w:name w:val="Revision"/>
    <w:hidden/>
    <w:uiPriority w:val="99"/>
    <w:semiHidden/>
    <w:rsid w:val="00484B75"/>
    <w:pPr>
      <w:spacing w:after="0" w:line="240" w:lineRule="auto"/>
    </w:p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istre@mtess.gouv.qc.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njNkddw0n2KkN/n3/z5Fs3wmw==">AMUW2mXHn8NBrfhesnm20qpICKRxf7wAqwWH621b/SQ+rm2dEUiZ391+ZAMcjSQAVKygZrnWM4qrWoF8KrJAOoc3R1GeEos+y8joy6USoB9iY1vEpvD8IEI=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dc:creator>
  <cp:lastModifiedBy>Office3 - Project Geneses</cp:lastModifiedBy>
  <cp:revision>2</cp:revision>
  <dcterms:created xsi:type="dcterms:W3CDTF">2020-10-02T19:48:00Z</dcterms:created>
  <dcterms:modified xsi:type="dcterms:W3CDTF">2020-10-02T19:48:00Z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0x010100DCC2E39022B4B443A569C8BEF43D6F1A</vt:lpwstr>
  </property>
</Properties>
</file>